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theme+xml" PartName="/word/theme/theme1.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1. </w:t>
        <w:tab/>
        <w:t xml:space="preserve">a) What are the advantages of listing in Hong Kong?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Listing has a key benefits includes increased capital base which can allow the firm to stabilize and operate in more strategic zones which could not be penetrated by private firms. Listing in the Hong Kong security will also provide the benefit of good valuation of the shares which provide the incentive to issue IPOs’. Listing is also associated with improved management boosting the level of performance in general. It also provides more security to the creditors hence will make more credit available to the firm. Publication of financial statements as a requirement on the capital markets improves transparency and accountability of firms.</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What are the disadvantages of Prada being listed in Hong Kong stock?</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a few disadvantages which are associated with listing including, loss of competitive advantage as the internal operations are exposed in the financial statements which become a public document for viewing. The profits to be enjoyed are now reduced as there are many share holders who stand to enjoy little benefits from there share dividends. The decision making process becomes complex and the firm may even at time fail to tap market opportunities.</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2.</w:t>
        <w:tab/>
        <w:t xml:space="preserve">a) What are the risks of getting listed?</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point of getting listed, the firm faces the major risk of the market uncertainty associated with the power to convince the new persons to join the firm by applying for its prospectus which at times firm may fail to get subscribers as Prada has attempted for four times in vain.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What are the risks of being listed?</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relation to being listed it mean that the firm has been in a position to get listed and has penetrated the market but the major risk faced at this level is related with the pricing of the shares so as to attract the right number of subscribers so as to raise enough finances for the firms need. This is the reason to why the firms are often forced to use the brokers to price their shares.</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3.</w:t>
        <w:tab/>
        <w:t xml:space="preserve">a) IPO price using forward P/E ratio</w:t>
      </w:r>
    </w:p>
    <w:tbl>
      <w:tblPr>
        <w:tblStyle w:val="Table1"/>
        <w:tblW w:w="3252.0" w:type="dxa"/>
        <w:jc w:val="left"/>
        <w:tblInd w:w="96.0" w:type="dxa"/>
        <w:tblLayout w:type="fixed"/>
        <w:tblLook w:val="0400"/>
      </w:tblPr>
      <w:tblGrid>
        <w:gridCol w:w="1380"/>
        <w:gridCol w:w="996"/>
        <w:gridCol w:w="876"/>
        <w:tblGridChange w:id="0">
          <w:tblGrid>
            <w:gridCol w:w="1380"/>
            <w:gridCol w:w="996"/>
            <w:gridCol w:w="876"/>
          </w:tblGrid>
        </w:tblGridChange>
      </w:tblGrid>
      <w:tr>
        <w:trPr>
          <w:trHeight w:val="204" w:hRule="atLeast"/>
        </w:trPr>
        <w:tc>
          <w:tcPr>
            <w:tcBorders>
              <w:top w:color="000000" w:space="0" w:sz="8"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0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Prada</w:t>
            </w:r>
          </w:p>
        </w:tc>
        <w:tc>
          <w:tcPr>
            <w:gridSpan w:val="2"/>
            <w:tcBorders>
              <w:top w:color="000000" w:space="0" w:sz="8" w:val="single"/>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0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Net Income</w:t>
            </w:r>
          </w:p>
        </w:tc>
      </w:tr>
      <w:tr>
        <w:trPr>
          <w:trHeight w:val="216"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0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2011</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0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2012</w:t>
            </w:r>
          </w:p>
        </w:tc>
      </w:tr>
      <w:tr>
        <w:trPr>
          <w:trHeight w:val="216"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1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432.00</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1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527.00</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1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average Net income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479.50</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1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1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Average P/E ratio</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19.04</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1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1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Firm 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9131.76</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1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1C">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Average share price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D">
            <w:pPr>
              <w:spacing w:after="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3.65</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1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1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20% Premium</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02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4.38</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2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2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3">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2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25">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Share Price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6">
            <w:pPr>
              <w:spacing w:after="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4.38</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2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16" w:hRule="atLeast"/>
        </w:trPr>
        <w:tc>
          <w:tcPr>
            <w:tcBorders>
              <w:top w:color="000000" w:space="0" w:sz="0" w:val="nil"/>
              <w:left w:color="000000" w:space="0" w:sz="8" w:val="single"/>
              <w:bottom w:color="000000" w:space="0" w:sz="8" w:val="single"/>
              <w:right w:color="000000" w:space="0" w:sz="0" w:val="nil"/>
            </w:tcBorders>
            <w:shd w:fill="auto" w:val="clear"/>
            <w:vAlign w:val="bottom"/>
          </w:tcPr>
          <w:p w:rsidR="00000000" w:rsidDel="00000000" w:rsidP="00000000" w:rsidRDefault="00000000" w:rsidRPr="00000000" w14:paraId="0000002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2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2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04"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C">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D">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IPO price using forward EV/EBITDA ratio</w:t>
      </w:r>
    </w:p>
    <w:tbl>
      <w:tblPr>
        <w:tblStyle w:val="Table2"/>
        <w:tblW w:w="8897.0" w:type="dxa"/>
        <w:jc w:val="left"/>
        <w:tblInd w:w="96.0" w:type="dxa"/>
        <w:tblLayout w:type="fixed"/>
        <w:tblLook w:val="0400"/>
      </w:tblPr>
      <w:tblGrid>
        <w:gridCol w:w="1380"/>
        <w:gridCol w:w="1509"/>
        <w:gridCol w:w="1056"/>
        <w:gridCol w:w="1300"/>
        <w:gridCol w:w="820"/>
        <w:gridCol w:w="820"/>
        <w:gridCol w:w="1136"/>
        <w:gridCol w:w="876"/>
        <w:tblGridChange w:id="0">
          <w:tblGrid>
            <w:gridCol w:w="1380"/>
            <w:gridCol w:w="1509"/>
            <w:gridCol w:w="1056"/>
            <w:gridCol w:w="1300"/>
            <w:gridCol w:w="820"/>
            <w:gridCol w:w="820"/>
            <w:gridCol w:w="1136"/>
            <w:gridCol w:w="876"/>
          </w:tblGrid>
        </w:tblGridChange>
      </w:tblGrid>
      <w:tr>
        <w:trPr>
          <w:trHeight w:val="204" w:hRule="atLeast"/>
        </w:trPr>
        <w:tc>
          <w:tcPr>
            <w:tcBorders>
              <w:top w:color="000000" w:space="0" w:sz="8"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3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6">
            <w:pPr>
              <w:spacing w:after="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tc>
        <w:tc>
          <w:tcPr>
            <w:tcBorders>
              <w:top w:color="000000" w:space="0" w:sz="8" w:val="single"/>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37">
            <w:pPr>
              <w:spacing w:after="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3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9">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A">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B">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E">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3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4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1">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2">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3">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4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AVERAGE EV/EBITDA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15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B">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E">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 TERM</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4F">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299.5</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5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EBITDA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3">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SHORT TERM</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57">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191.7</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5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9,607.79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E">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Prada holding BV</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5F">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6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LESS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6">
            <w:pPr>
              <w:spacing w:after="0" w:line="240" w:lineRule="auto"/>
              <w:jc w:val="right"/>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TOTAL</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67">
            <w:pPr>
              <w:spacing w:after="0" w:line="240" w:lineRule="auto"/>
              <w:jc w:val="right"/>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1091.2</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6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NET DEBT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974.9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B">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6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7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Market capitalization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8,632.89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3">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CASH</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77">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116.3</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7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9">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A">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B">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E">
            <w:pPr>
              <w:spacing w:after="0" w:line="240" w:lineRule="auto"/>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NET DEBT</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7F">
            <w:pPr>
              <w:spacing w:after="0" w:line="240" w:lineRule="auto"/>
              <w:jc w:val="right"/>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974.9</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8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Share price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3.45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3">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6">
            <w:pPr>
              <w:spacing w:after="0" w:line="240" w:lineRule="auto"/>
              <w:rPr>
                <w:rFonts w:ascii="Times New Roman" w:cs="Times New Roman" w:eastAsia="Times New Roman" w:hAnsi="Times New Roman"/>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87">
            <w:pPr>
              <w:spacing w:after="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tc>
      </w:tr>
      <w:tr>
        <w:trPr>
          <w:trHeight w:val="204"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8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 20% Premium</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08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4.14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B">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E">
            <w:pPr>
              <w:spacing w:after="0" w:line="240" w:lineRule="auto"/>
              <w:rPr>
                <w:rFonts w:ascii="Times New Roman" w:cs="Times New Roman" w:eastAsia="Times New Roman" w:hAnsi="Times New Roman"/>
                <w:color w:val="ff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8F">
            <w:pPr>
              <w:spacing w:after="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tc>
      </w:tr>
      <w:tr>
        <w:trPr>
          <w:trHeight w:val="216" w:hRule="atLeast"/>
        </w:trPr>
        <w:tc>
          <w:tcPr>
            <w:tcBorders>
              <w:top w:color="000000" w:space="0" w:sz="0" w:val="nil"/>
              <w:left w:color="000000" w:space="0" w:sz="8" w:val="single"/>
              <w:bottom w:color="000000" w:space="0" w:sz="8" w:val="single"/>
              <w:right w:color="000000" w:space="0" w:sz="0" w:val="nil"/>
            </w:tcBorders>
            <w:shd w:fill="auto" w:val="clear"/>
            <w:vAlign w:val="bottom"/>
          </w:tcPr>
          <w:p w:rsidR="00000000" w:rsidDel="00000000" w:rsidP="00000000" w:rsidRDefault="00000000" w:rsidRPr="00000000" w14:paraId="0000009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9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9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9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9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9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96">
            <w:pPr>
              <w:spacing w:after="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97">
            <w:pPr>
              <w:spacing w:after="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tc>
      </w:tr>
    </w:tbl>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4.</w:t>
        <w:tab/>
        <w:t xml:space="preserve">a) Free cash-flow to the firm FCFF</w:t>
      </w:r>
    </w:p>
    <w:tbl>
      <w:tblPr>
        <w:tblStyle w:val="Table3"/>
        <w:tblW w:w="9479.999999999998" w:type="dxa"/>
        <w:jc w:val="left"/>
        <w:tblInd w:w="96.0" w:type="dxa"/>
        <w:tblLayout w:type="fixed"/>
        <w:tblLook w:val="0400"/>
      </w:tblPr>
      <w:tblGrid>
        <w:gridCol w:w="945"/>
        <w:gridCol w:w="1927"/>
        <w:gridCol w:w="944"/>
        <w:gridCol w:w="944"/>
        <w:gridCol w:w="944"/>
        <w:gridCol w:w="944"/>
        <w:gridCol w:w="944"/>
        <w:gridCol w:w="944"/>
        <w:gridCol w:w="944"/>
        <w:tblGridChange w:id="0">
          <w:tblGrid>
            <w:gridCol w:w="945"/>
            <w:gridCol w:w="1927"/>
            <w:gridCol w:w="944"/>
            <w:gridCol w:w="944"/>
            <w:gridCol w:w="944"/>
            <w:gridCol w:w="944"/>
            <w:gridCol w:w="944"/>
            <w:gridCol w:w="944"/>
            <w:gridCol w:w="944"/>
          </w:tblGrid>
        </w:tblGridChange>
      </w:tblGrid>
      <w:tr>
        <w:trPr>
          <w:trHeight w:val="288" w:hRule="atLeast"/>
        </w:trPr>
        <w:tc>
          <w:tcPr>
            <w:tcBorders>
              <w:top w:color="000000" w:space="0" w:sz="8"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9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A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A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0A5">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2010</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0A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2011</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0A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2012</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0A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2013</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0A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2014</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0A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2015</w:t>
            </w:r>
          </w:p>
        </w:tc>
        <w:tc>
          <w:tcPr>
            <w:tcBorders>
              <w:top w:color="000000" w:space="0" w:sz="0" w:val="nil"/>
              <w:left w:color="000000" w:space="0" w:sz="0" w:val="nil"/>
              <w:bottom w:color="000000" w:space="0" w:sz="0" w:val="nil"/>
              <w:right w:color="000000" w:space="0" w:sz="8" w:val="single"/>
            </w:tcBorders>
            <w:shd w:fill="00b050" w:val="clear"/>
            <w:vAlign w:val="bottom"/>
          </w:tcPr>
          <w:p w:rsidR="00000000" w:rsidDel="00000000" w:rsidP="00000000" w:rsidRDefault="00000000" w:rsidRPr="00000000" w14:paraId="000000A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2016</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A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NET INCOME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333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527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2">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676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726</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B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779</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B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DEPRECIATION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151</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B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162</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B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CHANGE IN WC</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321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375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2">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498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5">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590</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C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634</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C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CAPEX</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281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133</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C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133</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D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D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D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4" w:val="single"/>
              <w:left w:color="000000" w:space="0" w:sz="0" w:val="nil"/>
              <w:bottom w:color="000000" w:space="0" w:sz="6" w:val="single"/>
              <w:right w:color="000000" w:space="0" w:sz="0" w:val="nil"/>
            </w:tcBorders>
            <w:shd w:fill="auto" w:val="clear"/>
            <w:vAlign w:val="bottom"/>
          </w:tcPr>
          <w:p w:rsidR="00000000" w:rsidDel="00000000" w:rsidP="00000000" w:rsidRDefault="00000000" w:rsidRPr="00000000" w14:paraId="000000D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FCF</w:t>
            </w:r>
          </w:p>
        </w:tc>
        <w:tc>
          <w:tcPr>
            <w:tcBorders>
              <w:top w:color="000000" w:space="0" w:sz="4" w:val="single"/>
              <w:left w:color="000000" w:space="0" w:sz="0" w:val="nil"/>
              <w:bottom w:color="000000" w:space="0" w:sz="6" w:val="single"/>
              <w:right w:color="000000" w:space="0" w:sz="0" w:val="nil"/>
            </w:tcBorders>
            <w:shd w:fill="auto" w:val="clear"/>
            <w:vAlign w:val="bottom"/>
          </w:tcPr>
          <w:p w:rsidR="00000000" w:rsidDel="00000000" w:rsidP="00000000" w:rsidRDefault="00000000" w:rsidRPr="00000000" w14:paraId="000000D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-126</w:t>
            </w:r>
          </w:p>
        </w:tc>
        <w:tc>
          <w:tcPr>
            <w:tcBorders>
              <w:top w:color="000000" w:space="0" w:sz="4" w:val="single"/>
              <w:left w:color="000000" w:space="0" w:sz="0" w:val="nil"/>
              <w:bottom w:color="000000" w:space="0" w:sz="6" w:val="single"/>
              <w:right w:color="000000" w:space="0" w:sz="0" w:val="nil"/>
            </w:tcBorders>
            <w:shd w:fill="auto" w:val="clear"/>
            <w:vAlign w:val="bottom"/>
          </w:tcPr>
          <w:p w:rsidR="00000000" w:rsidDel="00000000" w:rsidP="00000000" w:rsidRDefault="00000000" w:rsidRPr="00000000" w14:paraId="000000D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-154</w:t>
            </w:r>
          </w:p>
        </w:tc>
        <w:tc>
          <w:tcPr>
            <w:tcBorders>
              <w:top w:color="000000" w:space="0" w:sz="4" w:val="single"/>
              <w:left w:color="000000" w:space="0" w:sz="0" w:val="nil"/>
              <w:bottom w:color="000000" w:space="0" w:sz="6" w:val="single"/>
              <w:right w:color="000000" w:space="0" w:sz="0" w:val="nil"/>
            </w:tcBorders>
            <w:shd w:fill="auto" w:val="clear"/>
            <w:vAlign w:val="bottom"/>
          </w:tcPr>
          <w:p w:rsidR="00000000" w:rsidDel="00000000" w:rsidP="00000000" w:rsidRDefault="00000000" w:rsidRPr="00000000" w14:paraId="000000D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-130</w:t>
            </w:r>
          </w:p>
        </w:tc>
        <w:tc>
          <w:tcPr>
            <w:tcBorders>
              <w:top w:color="000000" w:space="0" w:sz="4" w:val="single"/>
              <w:left w:color="000000" w:space="0" w:sz="0" w:val="nil"/>
              <w:bottom w:color="000000" w:space="0" w:sz="6" w:val="single"/>
              <w:right w:color="000000" w:space="0" w:sz="0" w:val="nil"/>
            </w:tcBorders>
            <w:shd w:fill="auto" w:val="clear"/>
            <w:vAlign w:val="bottom"/>
          </w:tcPr>
          <w:p w:rsidR="00000000" w:rsidDel="00000000" w:rsidP="00000000" w:rsidRDefault="00000000" w:rsidRPr="00000000" w14:paraId="000000D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4" w:val="single"/>
              <w:left w:color="000000" w:space="0" w:sz="0" w:val="nil"/>
              <w:bottom w:color="000000" w:space="0" w:sz="6" w:val="single"/>
              <w:right w:color="000000" w:space="0" w:sz="0" w:val="nil"/>
            </w:tcBorders>
            <w:shd w:fill="auto" w:val="clear"/>
            <w:vAlign w:val="bottom"/>
          </w:tcPr>
          <w:p w:rsidR="00000000" w:rsidDel="00000000" w:rsidP="00000000" w:rsidRDefault="00000000" w:rsidRPr="00000000" w14:paraId="000000D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133</w:t>
            </w:r>
          </w:p>
        </w:tc>
        <w:tc>
          <w:tcPr>
            <w:tcBorders>
              <w:top w:color="000000" w:space="0" w:sz="4" w:val="single"/>
              <w:left w:color="000000" w:space="0" w:sz="0" w:val="nil"/>
              <w:bottom w:color="000000" w:space="0" w:sz="6" w:val="single"/>
              <w:right w:color="000000" w:space="0" w:sz="0" w:val="nil"/>
            </w:tcBorders>
            <w:shd w:fill="auto" w:val="clear"/>
            <w:vAlign w:val="bottom"/>
          </w:tcPr>
          <w:p w:rsidR="00000000" w:rsidDel="00000000" w:rsidP="00000000" w:rsidRDefault="00000000" w:rsidRPr="00000000" w14:paraId="000000E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154</w:t>
            </w:r>
          </w:p>
        </w:tc>
        <w:tc>
          <w:tcPr>
            <w:tcBorders>
              <w:top w:color="000000" w:space="0" w:sz="4" w:val="single"/>
              <w:left w:color="000000" w:space="0" w:sz="0" w:val="nil"/>
              <w:bottom w:color="000000" w:space="0" w:sz="6" w:val="single"/>
              <w:right w:color="000000" w:space="0" w:sz="8" w:val="single"/>
            </w:tcBorders>
            <w:shd w:fill="auto" w:val="clear"/>
            <w:vAlign w:val="bottom"/>
          </w:tcPr>
          <w:p w:rsidR="00000000" w:rsidDel="00000000" w:rsidP="00000000" w:rsidRDefault="00000000" w:rsidRPr="00000000" w14:paraId="000000E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174</w:t>
            </w:r>
          </w:p>
        </w:tc>
      </w:tr>
      <w:tr>
        <w:trPr>
          <w:trHeight w:val="312" w:hRule="atLeast"/>
        </w:trPr>
        <w:tc>
          <w:tcPr>
            <w:tcBorders>
              <w:top w:color="000000" w:space="0" w:sz="0" w:val="nil"/>
              <w:left w:color="000000" w:space="0" w:sz="8" w:val="single"/>
              <w:bottom w:color="000000" w:space="0" w:sz="8" w:val="single"/>
              <w:right w:color="000000" w:space="0" w:sz="0" w:val="nil"/>
            </w:tcBorders>
            <w:shd w:fill="auto" w:val="clear"/>
            <w:vAlign w:val="bottom"/>
          </w:tcPr>
          <w:p w:rsidR="00000000" w:rsidDel="00000000" w:rsidP="00000000" w:rsidRDefault="00000000" w:rsidRPr="00000000" w14:paraId="000000E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E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E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E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E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E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E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E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E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Compute the value of WACC</w:t>
      </w:r>
    </w:p>
    <w:tbl>
      <w:tblPr>
        <w:tblStyle w:val="Table4"/>
        <w:tblW w:w="6888.000000000001" w:type="dxa"/>
        <w:jc w:val="left"/>
        <w:tblInd w:w="96.0" w:type="dxa"/>
        <w:tblLayout w:type="fixed"/>
        <w:tblLook w:val="0400"/>
      </w:tblPr>
      <w:tblGrid>
        <w:gridCol w:w="960"/>
        <w:gridCol w:w="3313"/>
        <w:gridCol w:w="1499"/>
        <w:gridCol w:w="1116"/>
        <w:tblGridChange w:id="0">
          <w:tblGrid>
            <w:gridCol w:w="960"/>
            <w:gridCol w:w="3313"/>
            <w:gridCol w:w="1499"/>
            <w:gridCol w:w="1116"/>
          </w:tblGrid>
        </w:tblGridChange>
      </w:tblGrid>
      <w:tr>
        <w:trPr>
          <w:trHeight w:val="288" w:hRule="atLeast"/>
        </w:trPr>
        <w:tc>
          <w:tcPr>
            <w:tcBorders>
              <w:top w:color="000000" w:space="0" w:sz="8"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E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wacc</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F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F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F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F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5.1%=100M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F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F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F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F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0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0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=100*100/5.1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0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0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1960.78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0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0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0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Value of equity</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0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1960.78</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0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0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0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Value of debt</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0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1091.2</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1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1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1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TOTAL VALUE</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1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3051.98</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1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1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1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Wd</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1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0.36</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1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1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1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We</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1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0.64</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1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1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2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2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Cost of equity=rf+risk premium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2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2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Risk free rate (Average for gov bond)</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2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2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Risk Premium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2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2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2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2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3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3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3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3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EBT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=251*100/73</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3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343.84</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3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INTEREST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=EBIT-EBT</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3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72.16</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3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DEBT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4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491.2</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4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Kd</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=interst/debt</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4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14.69%</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4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4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4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Wd</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4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0.36</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4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We</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5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0.64</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5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5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5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Kd</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5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14.69%</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5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5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8" w:val="single"/>
              <w:right w:color="000000" w:space="0" w:sz="0" w:val="nil"/>
            </w:tcBorders>
            <w:shd w:fill="auto" w:val="clear"/>
            <w:vAlign w:val="bottom"/>
          </w:tcPr>
          <w:p w:rsidR="00000000" w:rsidDel="00000000" w:rsidP="00000000" w:rsidRDefault="00000000" w:rsidRPr="00000000" w14:paraId="0000015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5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5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WACC</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16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0.097622</w:t>
            </w:r>
          </w:p>
        </w:tc>
      </w:tr>
    </w:tbl>
    <w:p w:rsidR="00000000" w:rsidDel="00000000" w:rsidP="00000000" w:rsidRDefault="00000000" w:rsidRPr="00000000" w14:paraId="0000016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Calculate the terminal value</w:t>
      </w:r>
    </w:p>
    <w:tbl>
      <w:tblPr>
        <w:tblStyle w:val="Table5"/>
        <w:tblW w:w="4130.0" w:type="dxa"/>
        <w:jc w:val="left"/>
        <w:tblInd w:w="96.0" w:type="dxa"/>
        <w:tblLayout w:type="fixed"/>
        <w:tblLook w:val="0400"/>
      </w:tblPr>
      <w:tblGrid>
        <w:gridCol w:w="960"/>
        <w:gridCol w:w="2174"/>
        <w:gridCol w:w="996"/>
        <w:tblGridChange w:id="0">
          <w:tblGrid>
            <w:gridCol w:w="960"/>
            <w:gridCol w:w="2174"/>
            <w:gridCol w:w="996"/>
          </w:tblGrid>
        </w:tblGridChange>
      </w:tblGrid>
      <w:tr>
        <w:trPr>
          <w:trHeight w:val="288" w:hRule="atLeast"/>
        </w:trPr>
        <w:tc>
          <w:tcPr>
            <w:tcBorders>
              <w:top w:color="000000" w:space="0" w:sz="8"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6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6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6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Cash flow</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6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174</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6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FY 2017</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6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178.35</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6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Growth</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6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0.025</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6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WACC</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7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0.0855</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7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7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7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Terminal Value</w:t>
            </w:r>
          </w:p>
        </w:tc>
        <w:tc>
          <w:tcPr>
            <w:tcBorders>
              <w:top w:color="000000" w:space="0" w:sz="4" w:val="single"/>
              <w:left w:color="000000" w:space="0" w:sz="0" w:val="nil"/>
              <w:bottom w:color="000000" w:space="0" w:sz="6" w:val="single"/>
              <w:right w:color="000000" w:space="0" w:sz="8" w:val="single"/>
            </w:tcBorders>
            <w:shd w:fill="auto" w:val="clear"/>
            <w:vAlign w:val="bottom"/>
          </w:tcPr>
          <w:p w:rsidR="00000000" w:rsidDel="00000000" w:rsidP="00000000" w:rsidRDefault="00000000" w:rsidRPr="00000000" w14:paraId="0000017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2947.93</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7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7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7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7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7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gridSpan w:val="2"/>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7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Using EV multiple</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8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EV multiple</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8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8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FCF in terminal year</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8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178.35</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8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Terminal Value</w:t>
            </w:r>
          </w:p>
        </w:tc>
        <w:tc>
          <w:tcPr>
            <w:tcBorders>
              <w:top w:color="000000" w:space="0" w:sz="4" w:val="single"/>
              <w:left w:color="000000" w:space="0" w:sz="0" w:val="nil"/>
              <w:bottom w:color="000000" w:space="0" w:sz="6" w:val="single"/>
              <w:right w:color="000000" w:space="0" w:sz="8" w:val="single"/>
            </w:tcBorders>
            <w:shd w:fill="auto" w:val="clear"/>
            <w:vAlign w:val="bottom"/>
          </w:tcPr>
          <w:p w:rsidR="00000000" w:rsidDel="00000000" w:rsidP="00000000" w:rsidRDefault="00000000" w:rsidRPr="00000000" w14:paraId="0000018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2675.25</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8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8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8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8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9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00b050" w:val="clear"/>
            <w:vAlign w:val="bottom"/>
          </w:tcPr>
          <w:p w:rsidR="00000000" w:rsidDel="00000000" w:rsidP="00000000" w:rsidRDefault="00000000" w:rsidRPr="00000000" w14:paraId="00000191">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Average terminal Value</w:t>
            </w:r>
          </w:p>
        </w:tc>
        <w:tc>
          <w:tcPr>
            <w:tcBorders>
              <w:top w:color="000000" w:space="0" w:sz="0" w:val="nil"/>
              <w:left w:color="000000" w:space="0" w:sz="0" w:val="nil"/>
              <w:bottom w:color="000000" w:space="0" w:sz="0" w:val="nil"/>
              <w:right w:color="000000" w:space="0" w:sz="8" w:val="single"/>
            </w:tcBorders>
            <w:shd w:fill="00b050" w:val="clear"/>
            <w:vAlign w:val="bottom"/>
          </w:tcPr>
          <w:p w:rsidR="00000000" w:rsidDel="00000000" w:rsidP="00000000" w:rsidRDefault="00000000" w:rsidRPr="00000000" w14:paraId="00000192">
            <w:pPr>
              <w:spacing w:after="0" w:line="240" w:lineRule="auto"/>
              <w:jc w:val="righ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2811.59</w:t>
            </w:r>
          </w:p>
        </w:tc>
      </w:tr>
      <w:tr>
        <w:trPr>
          <w:trHeight w:val="300" w:hRule="atLeast"/>
        </w:trPr>
        <w:tc>
          <w:tcPr>
            <w:tcBorders>
              <w:top w:color="000000" w:space="0" w:sz="0" w:val="nil"/>
              <w:left w:color="000000" w:space="0" w:sz="8" w:val="single"/>
              <w:bottom w:color="000000" w:space="0" w:sz="8" w:val="single"/>
              <w:right w:color="000000" w:space="0" w:sz="0" w:val="nil"/>
            </w:tcBorders>
            <w:shd w:fill="auto" w:val="clear"/>
            <w:vAlign w:val="bottom"/>
          </w:tcPr>
          <w:p w:rsidR="00000000" w:rsidDel="00000000" w:rsidP="00000000" w:rsidRDefault="00000000" w:rsidRPr="00000000" w14:paraId="0000019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9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19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19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 i) the pre-money share price</w:t>
      </w:r>
    </w:p>
    <w:tbl>
      <w:tblPr>
        <w:tblStyle w:val="Table6"/>
        <w:tblW w:w="10252.0" w:type="dxa"/>
        <w:jc w:val="left"/>
        <w:tblInd w:w="96.0" w:type="dxa"/>
        <w:tblLayout w:type="fixed"/>
        <w:tblLook w:val="0400"/>
      </w:tblPr>
      <w:tblGrid>
        <w:gridCol w:w="1960"/>
        <w:gridCol w:w="1116"/>
        <w:gridCol w:w="996"/>
        <w:gridCol w:w="996"/>
        <w:gridCol w:w="960"/>
        <w:gridCol w:w="996"/>
        <w:gridCol w:w="996"/>
        <w:gridCol w:w="1116"/>
        <w:gridCol w:w="1116"/>
        <w:tblGridChange w:id="0">
          <w:tblGrid>
            <w:gridCol w:w="1960"/>
            <w:gridCol w:w="1116"/>
            <w:gridCol w:w="996"/>
            <w:gridCol w:w="996"/>
            <w:gridCol w:w="960"/>
            <w:gridCol w:w="996"/>
            <w:gridCol w:w="996"/>
            <w:gridCol w:w="1116"/>
            <w:gridCol w:w="1116"/>
          </w:tblGrid>
        </w:tblGridChange>
      </w:tblGrid>
      <w:tr>
        <w:trPr>
          <w:trHeight w:val="288" w:hRule="atLeast"/>
        </w:trPr>
        <w:tc>
          <w:tcPr>
            <w:tcBorders>
              <w:top w:color="000000" w:space="0" w:sz="8"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9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8" w:val="single"/>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A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A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8">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A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A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Year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2">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2016</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B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Terminal</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B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B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B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Cashflo</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2">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5">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174</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C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2811.59</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C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PVIFr%,n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0.9212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0.8487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0.7818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0.7202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0.6635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0.6113</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C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0.6113</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D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Discounted cashflow</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2">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-141.865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-110.331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-3.909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5">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95.7866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102.179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106.3662</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D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1718.725</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D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Firm 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1640.952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E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E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Debt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1091.2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8">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E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E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Cash</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116.3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F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F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Equity 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5">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666.052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8">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1F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F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Number of shares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0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8" w:val="single"/>
              <w:right w:color="000000" w:space="0" w:sz="0" w:val="nil"/>
            </w:tcBorders>
            <w:shd w:fill="auto" w:val="clear"/>
            <w:vAlign w:val="bottom"/>
          </w:tcPr>
          <w:p w:rsidR="00000000" w:rsidDel="00000000" w:rsidP="00000000" w:rsidRDefault="00000000" w:rsidRPr="00000000" w14:paraId="0000020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Share price</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0.27</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20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2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ii) Post-money share price</w:t>
      </w:r>
    </w:p>
    <w:tbl>
      <w:tblPr>
        <w:tblStyle w:val="Table7"/>
        <w:tblW w:w="10505.0" w:type="dxa"/>
        <w:jc w:val="left"/>
        <w:tblInd w:w="96.0" w:type="dxa"/>
        <w:tblLayout w:type="fixed"/>
        <w:tblLook w:val="0400"/>
      </w:tblPr>
      <w:tblGrid>
        <w:gridCol w:w="2213"/>
        <w:gridCol w:w="1116"/>
        <w:gridCol w:w="996"/>
        <w:gridCol w:w="996"/>
        <w:gridCol w:w="960"/>
        <w:gridCol w:w="996"/>
        <w:gridCol w:w="996"/>
        <w:gridCol w:w="1116"/>
        <w:gridCol w:w="1116"/>
        <w:tblGridChange w:id="0">
          <w:tblGrid>
            <w:gridCol w:w="2213"/>
            <w:gridCol w:w="1116"/>
            <w:gridCol w:w="996"/>
            <w:gridCol w:w="996"/>
            <w:gridCol w:w="960"/>
            <w:gridCol w:w="996"/>
            <w:gridCol w:w="996"/>
            <w:gridCol w:w="1116"/>
            <w:gridCol w:w="1116"/>
          </w:tblGrid>
        </w:tblGridChange>
      </w:tblGrid>
      <w:tr>
        <w:trPr>
          <w:trHeight w:val="288" w:hRule="atLeast"/>
        </w:trPr>
        <w:tc>
          <w:tcPr>
            <w:tcBorders>
              <w:top w:color="000000" w:space="0" w:sz="8"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1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Year</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2">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2010</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2011</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2012</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5">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2013</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2014</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2015</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2016</w:t>
            </w:r>
          </w:p>
        </w:tc>
        <w:tc>
          <w:tcPr>
            <w:tcBorders>
              <w:top w:color="000000" w:space="0" w:sz="8" w:val="single"/>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1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Terminal</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1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22">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2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Cashflo</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5">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174</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2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2811.59</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2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PVIFr%,n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0.9212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0.8487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0.7818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0.7202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2">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0.6635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0.6113</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3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0.6113</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3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Discounted cashflow</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-141.865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-110.331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-3.909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95.7866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102.179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106.3662</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3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1718.725</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3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Firm 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1640.952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4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4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Debt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1091.2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4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5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Cash</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116.3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5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5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Equity 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666.052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6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6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8">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6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6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IPO Proceeds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306.67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7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7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Less IPO Costs of 4.4%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5">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293.18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8">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7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7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New equity 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959.232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8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8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New shares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70.02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8">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8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8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Total post money shares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2570.02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9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9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A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288"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2A1">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Share price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2">
            <w:pPr>
              <w:spacing w:after="0" w:line="240" w:lineRule="auto"/>
              <w:jc w:val="righ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0.37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8">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2A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8" w:val="single"/>
              <w:right w:color="000000" w:space="0" w:sz="0" w:val="nil"/>
            </w:tcBorders>
            <w:shd w:fill="auto" w:val="clear"/>
            <w:vAlign w:val="bottom"/>
          </w:tcPr>
          <w:p w:rsidR="00000000" w:rsidDel="00000000" w:rsidP="00000000" w:rsidRDefault="00000000" w:rsidRPr="00000000" w14:paraId="000002A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A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A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A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A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A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B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B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2B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2B3">
      <w:pPr>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